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B2" w:rsidRDefault="00570BB2" w:rsidP="00570BB2">
      <w:pPr>
        <w:pStyle w:val="NormalnyWeb"/>
        <w:rPr>
          <w:rFonts w:ascii="Verdana" w:hAnsi="Verdana"/>
          <w:color w:val="000000"/>
          <w:sz w:val="16"/>
          <w:szCs w:val="16"/>
        </w:rPr>
      </w:pPr>
      <w:hyperlink r:id="rId4" w:history="1">
        <w:r>
          <w:rPr>
            <w:rStyle w:val="Hipercze"/>
            <w:rFonts w:ascii="Verdana" w:hAnsi="Verdana"/>
            <w:color w:val="006666"/>
            <w:sz w:val="16"/>
            <w:szCs w:val="16"/>
          </w:rPr>
          <w:t>Rozporządzenie wykonawcze Komisji (UE) nr 1097/2012 z dnia 23 listopada 2012 r. zmieniające rozporządzenie (UE) nr 142/2011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 w odniesieniu do wysyłania produktów ubocznych pochodzenia zwierzęcego i produktów pochodnych pomiędzy państwami członkowskimi</w:t>
        </w:r>
      </w:hyperlink>
    </w:p>
    <w:p w:rsidR="00570BB2" w:rsidRDefault="00570BB2" w:rsidP="00570BB2">
      <w:pPr>
        <w:pStyle w:val="NormalnyWeb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Rozporządzenie Komisji (UE) nr 1063/2012 z dnia 13 listopada 2012 r. zmieniające rozporządzenie (UE) nr 142/2011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  </w:r>
      </w:hyperlink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</w:t>
      </w:r>
      <w:hyperlink r:id="rId6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Dz.U. L 300 z 14.11.2009</w:t>
        </w:r>
      </w:hyperlink>
      <w:r>
        <w:rPr>
          <w:rFonts w:ascii="Verdana" w:hAnsi="Verdana"/>
          <w:color w:val="000000"/>
          <w:sz w:val="16"/>
          <w:szCs w:val="16"/>
        </w:rPr>
        <w:t>)</w:t>
      </w:r>
    </w:p>
    <w:p w:rsidR="00570BB2" w:rsidRDefault="00570BB2" w:rsidP="00570BB2">
      <w:pPr>
        <w:pStyle w:val="NormalnyWeb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 xml:space="preserve">Sprostowanie do rozporządzenia Parlamentu Europejskiego i Rady (WE) nr 1069/2009 z dnia 21 października </w:t>
        </w:r>
        <w:bookmarkStart w:id="0" w:name="_GoBack"/>
        <w:bookmarkEnd w:id="0"/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2009 r. określającego przepisy sanitarne dotyczące produktów ubocznych pochodzenia zwierzęcego, nieprzeznaczonych do spożycia przez ludzi, i uchylającego rozporządzenie (WE) nr 1774/2002 (rozporządzenie o produktach ubocznych pochodzenia zwierzęcego)</w:t>
        </w:r>
      </w:hyperlink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(</w:t>
      </w:r>
      <w:hyperlink r:id="rId8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Dz.U. L 300 z 14.11.2009</w:t>
        </w:r>
      </w:hyperlink>
      <w:r>
        <w:rPr>
          <w:rFonts w:ascii="Verdana" w:hAnsi="Verdana"/>
          <w:color w:val="000000"/>
          <w:sz w:val="16"/>
          <w:szCs w:val="16"/>
        </w:rPr>
        <w:t>)</w:t>
      </w:r>
    </w:p>
    <w:p w:rsidR="00570BB2" w:rsidRDefault="00570BB2" w:rsidP="00570BB2">
      <w:pPr>
        <w:pStyle w:val="NormalnyWeb"/>
        <w:rPr>
          <w:rFonts w:ascii="Verdana" w:hAnsi="Verdana"/>
          <w:color w:val="000000"/>
          <w:sz w:val="16"/>
          <w:szCs w:val="16"/>
        </w:rPr>
      </w:pPr>
      <w:hyperlink r:id="rId9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Rozporządzenie Komisji (UE) nr 749/2011 z dnia 29 lipca 2011 r. zmieniające rozporządzenie (UE) nr 142/2011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  </w:r>
      </w:hyperlink>
    </w:p>
    <w:p w:rsidR="00570BB2" w:rsidRDefault="00570BB2" w:rsidP="00570BB2">
      <w:pPr>
        <w:pStyle w:val="NormalnyWeb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Rozporządzenie Komisji (UE) nr 189/2011 z dnia 25 lutego 2011 r. zmieniające załączniki VII i IX do rozporządzenia (WE) nr 999/2001 Parlamentu Europejskiego i Rady ustanawiającego zasady dotyczące zapobiegania, kontroli i zwalczania niektórych przenośnych gąbczastych encefalopatii </w:t>
        </w:r>
      </w:hyperlink>
    </w:p>
    <w:p w:rsidR="00570BB2" w:rsidRDefault="00570BB2" w:rsidP="00570BB2">
      <w:pPr>
        <w:pStyle w:val="NormalnyWeb"/>
        <w:rPr>
          <w:rFonts w:ascii="Verdana" w:hAnsi="Verdana"/>
          <w:color w:val="000000"/>
          <w:sz w:val="16"/>
          <w:szCs w:val="16"/>
        </w:rPr>
      </w:pPr>
      <w:hyperlink r:id="rId11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Rozporządzenie Komisji (UE) nr 142/2011 z dnia 25 lutego 2011 r.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  </w:r>
      </w:hyperlink>
    </w:p>
    <w:p w:rsidR="00570BB2" w:rsidRDefault="00570BB2" w:rsidP="00570BB2">
      <w:pPr>
        <w:pStyle w:val="NormalnyWeb"/>
        <w:rPr>
          <w:rFonts w:ascii="Verdana" w:hAnsi="Verdana"/>
          <w:color w:val="000000"/>
          <w:sz w:val="16"/>
          <w:szCs w:val="16"/>
        </w:rPr>
      </w:pPr>
      <w:hyperlink r:id="rId12" w:history="1">
        <w:r>
          <w:rPr>
            <w:rStyle w:val="Hipercze"/>
            <w:rFonts w:ascii="Verdana" w:hAnsi="Verdana"/>
            <w:color w:val="000000"/>
            <w:sz w:val="16"/>
            <w:szCs w:val="16"/>
            <w:u w:val="none"/>
          </w:rPr>
          <w:t>Rozporządzenie Komisji (UE) nr 35/2011 z dnia 18 stycznia 2011 r. zmieniające rozporządzenie (UE) nr 595/2010 w odniesieniu do wydłużenia okresu przejściowego dla stosowania niektórych świadectw zdrowia dotyczących mleka i przetworów mlecznych, surowicy zwierząt koniowatych oraz poddanych obróbce produktów z krwi, z wyjątkiem produktów z krwi zwierząt koniowatych, przeznaczonych do wytwarzania produktów technicznych</w:t>
        </w:r>
      </w:hyperlink>
    </w:p>
    <w:p w:rsidR="002E5E08" w:rsidRDefault="002E5E08"/>
    <w:sectPr w:rsidR="002E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2"/>
    <w:rsid w:val="002E5E08"/>
    <w:rsid w:val="005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45DE-CCF9-469A-BD3F-8D7E3CD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0BB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7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9:300:SOM:PL: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xUriServ/LexUriServ.do?uri=OJ:L:2012:216:0003:0003:PL:PDF" TargetMode="External"/><Relationship Id="rId12" Type="http://schemas.openxmlformats.org/officeDocument/2006/relationships/hyperlink" Target="http://eur-lex.europa.eu/LexUriServ/LexUriServ.do?uri=OJ:L:2011:014:0009:0010:PL: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OJ:L:2009:300:SOM:PL:HTML" TargetMode="External"/><Relationship Id="rId11" Type="http://schemas.openxmlformats.org/officeDocument/2006/relationships/hyperlink" Target="http://eur-lex.europa.eu/LexUriServ/LexUriServ.do?uri=OJ:L:2011:054:0001:0254:PL:PDF" TargetMode="External"/><Relationship Id="rId5" Type="http://schemas.openxmlformats.org/officeDocument/2006/relationships/hyperlink" Target="http://eur-lex.europa.eu/LexUriServ/LexUriServ.do?uri=OJ:L:2012:314:0005:0012:PL:PDF" TargetMode="External"/><Relationship Id="rId10" Type="http://schemas.openxmlformats.org/officeDocument/2006/relationships/hyperlink" Target="http://eur-lex.europa.eu/LexUriServ/LexUriServ.do?uri=OJ:L:2011:053:0056:0060:PL:PDF" TargetMode="External"/><Relationship Id="rId4" Type="http://schemas.openxmlformats.org/officeDocument/2006/relationships/hyperlink" Target="http://eur-lex.europa.eu/LexUriServ/LexUriServ.do?uri=OJ:L:2012:326:0003:0010:PL:PDF" TargetMode="External"/><Relationship Id="rId9" Type="http://schemas.openxmlformats.org/officeDocument/2006/relationships/hyperlink" Target="http://eur-lex.europa.eu/LexUriServ/LexUriServ.do?uri=OJ:L:2011:198:0003:0022:PL: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Mazur</dc:creator>
  <cp:keywords/>
  <dc:description/>
  <cp:lastModifiedBy>Tomasz Mazur</cp:lastModifiedBy>
  <cp:revision>1</cp:revision>
  <dcterms:created xsi:type="dcterms:W3CDTF">2016-05-19T13:59:00Z</dcterms:created>
  <dcterms:modified xsi:type="dcterms:W3CDTF">2016-05-19T13:59:00Z</dcterms:modified>
</cp:coreProperties>
</file>